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B85F" w14:textId="1C8E1DC3" w:rsidR="00675DC0" w:rsidRPr="00D73FC6" w:rsidRDefault="00675DC0" w:rsidP="00675DC0">
      <w:pPr>
        <w:spacing w:before="240" w:after="120" w:line="360" w:lineRule="auto"/>
        <w:jc w:val="center"/>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The One Big Beautiful Bill Act</w:t>
      </w:r>
    </w:p>
    <w:p w14:paraId="7F58DAC3" w14:textId="73525EB8" w:rsidR="001217C2" w:rsidRPr="00D73FC6" w:rsidRDefault="00CF4CC0" w:rsidP="002E1449">
      <w:pPr>
        <w:spacing w:before="240" w:after="120" w:line="360" w:lineRule="auto"/>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Effective 2025 for individuals</w:t>
      </w:r>
    </w:p>
    <w:p w14:paraId="7521D332" w14:textId="2188EC27" w:rsidR="002E1449" w:rsidRPr="00D73FC6" w:rsidRDefault="003C4378" w:rsidP="002E1449">
      <w:pPr>
        <w:spacing w:before="240" w:after="120" w:line="360" w:lineRule="auto"/>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 xml:space="preserve">New </w:t>
      </w:r>
      <w:r w:rsidR="002E1449" w:rsidRPr="00D73FC6">
        <w:rPr>
          <w:rFonts w:ascii="Arial" w:eastAsia="Times New Roman" w:hAnsi="Arial" w:cs="Arial"/>
          <w:b/>
          <w:bCs/>
          <w:sz w:val="18"/>
          <w:szCs w:val="18"/>
          <w:lang w:eastAsia="en-GB"/>
        </w:rPr>
        <w:t>Individual income tax provisions</w:t>
      </w:r>
    </w:p>
    <w:p w14:paraId="4F8A375B" w14:textId="79D37958" w:rsidR="003C4378" w:rsidRPr="00D73FC6" w:rsidRDefault="003C4378" w:rsidP="003C4378">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No tax on tips:</w:t>
      </w:r>
      <w:r w:rsidRPr="00D73FC6">
        <w:rPr>
          <w:rFonts w:ascii="Arial" w:eastAsia="Times New Roman" w:hAnsi="Arial" w:cs="Arial"/>
          <w:sz w:val="18"/>
          <w:szCs w:val="18"/>
          <w:lang w:eastAsia="en-GB"/>
        </w:rPr>
        <w:t xml:space="preserve"> For 2025–2028, </w:t>
      </w:r>
      <w:r w:rsidR="00284CB5" w:rsidRPr="00D73FC6">
        <w:rPr>
          <w:rFonts w:ascii="Arial" w:eastAsia="Times New Roman" w:hAnsi="Arial" w:cs="Arial"/>
          <w:sz w:val="18"/>
          <w:szCs w:val="18"/>
          <w:lang w:eastAsia="en-GB"/>
        </w:rPr>
        <w:t xml:space="preserve">an </w:t>
      </w:r>
      <w:r w:rsidRPr="00D73FC6">
        <w:rPr>
          <w:rFonts w:ascii="Arial" w:eastAsia="Times New Roman" w:hAnsi="Arial" w:cs="Arial"/>
          <w:sz w:val="18"/>
          <w:szCs w:val="18"/>
          <w:lang w:eastAsia="en-GB"/>
        </w:rPr>
        <w:t xml:space="preserve">above-the-line deduction </w:t>
      </w:r>
      <w:r w:rsidR="00284CB5" w:rsidRPr="00D73FC6">
        <w:rPr>
          <w:rFonts w:ascii="Arial" w:eastAsia="Times New Roman" w:hAnsi="Arial" w:cs="Arial"/>
          <w:sz w:val="18"/>
          <w:szCs w:val="18"/>
          <w:lang w:eastAsia="en-GB"/>
        </w:rPr>
        <w:t>is</w:t>
      </w:r>
      <w:r w:rsidRPr="00D73FC6">
        <w:rPr>
          <w:rFonts w:ascii="Arial" w:eastAsia="Times New Roman" w:hAnsi="Arial" w:cs="Arial"/>
          <w:sz w:val="18"/>
          <w:szCs w:val="18"/>
          <w:lang w:eastAsia="en-GB"/>
        </w:rPr>
        <w:t xml:space="preserve"> created for qualified tips</w:t>
      </w:r>
      <w:r w:rsidR="00391338" w:rsidRPr="00D73FC6">
        <w:rPr>
          <w:rFonts w:ascii="Arial" w:eastAsia="Times New Roman" w:hAnsi="Arial" w:cs="Arial"/>
          <w:sz w:val="18"/>
          <w:szCs w:val="18"/>
          <w:lang w:eastAsia="en-GB"/>
        </w:rPr>
        <w:t xml:space="preserve">, </w:t>
      </w:r>
      <w:r w:rsidRPr="00D73FC6">
        <w:rPr>
          <w:rFonts w:ascii="Arial" w:eastAsia="Times New Roman" w:hAnsi="Arial" w:cs="Arial"/>
          <w:sz w:val="18"/>
          <w:szCs w:val="18"/>
          <w:lang w:eastAsia="en-GB"/>
        </w:rPr>
        <w:t>subject to income and occupation</w:t>
      </w:r>
      <w:r w:rsidR="00284CB5" w:rsidRPr="00D73FC6">
        <w:rPr>
          <w:rFonts w:ascii="Arial" w:eastAsia="Times New Roman" w:hAnsi="Arial" w:cs="Arial"/>
          <w:sz w:val="18"/>
          <w:szCs w:val="18"/>
          <w:lang w:eastAsia="en-GB"/>
        </w:rPr>
        <w:t>.</w:t>
      </w:r>
      <w:r w:rsidRPr="00D73FC6">
        <w:rPr>
          <w:rFonts w:ascii="Arial" w:eastAsia="Times New Roman" w:hAnsi="Arial" w:cs="Arial"/>
          <w:sz w:val="18"/>
          <w:szCs w:val="18"/>
          <w:lang w:eastAsia="en-GB"/>
        </w:rPr>
        <w:t xml:space="preserve"> </w:t>
      </w:r>
      <w:r w:rsidR="00395141" w:rsidRPr="00D73FC6">
        <w:rPr>
          <w:rFonts w:ascii="Arial" w:eastAsia="Times New Roman" w:hAnsi="Arial" w:cs="Arial"/>
          <w:sz w:val="18"/>
          <w:szCs w:val="18"/>
          <w:lang w:eastAsia="en-GB"/>
        </w:rPr>
        <w:t xml:space="preserve">Guidance on </w:t>
      </w:r>
      <w:r w:rsidR="00D43CD3" w:rsidRPr="00D73FC6">
        <w:rPr>
          <w:rFonts w:ascii="Arial" w:eastAsia="Times New Roman" w:hAnsi="Arial" w:cs="Arial"/>
          <w:sz w:val="18"/>
          <w:szCs w:val="18"/>
          <w:lang w:eastAsia="en-GB"/>
        </w:rPr>
        <w:t>how employers will track</w:t>
      </w:r>
      <w:r w:rsidR="00395141" w:rsidRPr="00D73FC6">
        <w:rPr>
          <w:rFonts w:ascii="Arial" w:eastAsia="Times New Roman" w:hAnsi="Arial" w:cs="Arial"/>
          <w:sz w:val="18"/>
          <w:szCs w:val="18"/>
          <w:lang w:eastAsia="en-GB"/>
        </w:rPr>
        <w:t xml:space="preserve"> tips is not yet available</w:t>
      </w:r>
      <w:r w:rsidR="00D43CD3" w:rsidRPr="00D73FC6">
        <w:rPr>
          <w:rFonts w:ascii="Arial" w:eastAsia="Times New Roman" w:hAnsi="Arial" w:cs="Arial"/>
          <w:sz w:val="18"/>
          <w:szCs w:val="18"/>
          <w:lang w:eastAsia="en-GB"/>
        </w:rPr>
        <w:t>. You can be prepared by tracking your tips on your own.</w:t>
      </w:r>
    </w:p>
    <w:p w14:paraId="597EEA95" w14:textId="6175646D" w:rsidR="003C4378" w:rsidRPr="00D73FC6" w:rsidRDefault="003C4378" w:rsidP="003C4378">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No tax on overtime:</w:t>
      </w:r>
      <w:r w:rsidRPr="00D73FC6">
        <w:rPr>
          <w:rFonts w:ascii="Arial" w:eastAsia="Times New Roman" w:hAnsi="Arial" w:cs="Arial"/>
          <w:sz w:val="18"/>
          <w:szCs w:val="18"/>
          <w:lang w:eastAsia="en-GB"/>
        </w:rPr>
        <w:t xml:space="preserve"> For 2025-2028, the premium on overtime hours may be deducted from income</w:t>
      </w:r>
      <w:r w:rsidR="00284CB5" w:rsidRPr="00D73FC6">
        <w:rPr>
          <w:rFonts w:ascii="Arial" w:eastAsia="Times New Roman" w:hAnsi="Arial" w:cs="Arial"/>
          <w:sz w:val="18"/>
          <w:szCs w:val="18"/>
          <w:lang w:eastAsia="en-GB"/>
        </w:rPr>
        <w:t>,</w:t>
      </w:r>
      <w:r w:rsidRPr="00D73FC6">
        <w:rPr>
          <w:rFonts w:ascii="Arial" w:eastAsia="Times New Roman" w:hAnsi="Arial" w:cs="Arial"/>
          <w:sz w:val="18"/>
          <w:szCs w:val="18"/>
          <w:lang w:eastAsia="en-GB"/>
        </w:rPr>
        <w:t xml:space="preserve"> up to $12,500 for single filers and $25,000 for joint filers, subject to income phaseouts. The premium is any excess amount paid above the normal rate. </w:t>
      </w:r>
      <w:r w:rsidR="00395141" w:rsidRPr="00D73FC6">
        <w:rPr>
          <w:rFonts w:ascii="Arial" w:eastAsia="Times New Roman" w:hAnsi="Arial" w:cs="Arial"/>
          <w:sz w:val="18"/>
          <w:szCs w:val="18"/>
          <w:lang w:eastAsia="en-GB"/>
        </w:rPr>
        <w:t>Guidance on how employers will track overtime premiums is not yet available. You can be prepared by tracking your overtime premiums on your own.</w:t>
      </w:r>
    </w:p>
    <w:p w14:paraId="076E50D4" w14:textId="138B5B57" w:rsidR="003C4378" w:rsidRPr="00D73FC6" w:rsidRDefault="003C4378" w:rsidP="003C4378">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Enhanced deduction for seniors:</w:t>
      </w:r>
      <w:r w:rsidRPr="00D73FC6">
        <w:rPr>
          <w:rFonts w:ascii="Arial" w:eastAsia="Times New Roman" w:hAnsi="Arial" w:cs="Arial"/>
          <w:sz w:val="18"/>
          <w:szCs w:val="18"/>
          <w:lang w:eastAsia="en-GB"/>
        </w:rPr>
        <w:t xml:space="preserve"> For 2025–2028, a $6,000 deduction is available for seniors (age 65+) with income below $75,000 ($150,000 for joint filers).</w:t>
      </w:r>
      <w:r w:rsidR="00CF4CC0" w:rsidRPr="00D73FC6">
        <w:rPr>
          <w:rFonts w:ascii="Arial" w:eastAsia="Times New Roman" w:hAnsi="Arial" w:cs="Arial"/>
          <w:sz w:val="18"/>
          <w:szCs w:val="18"/>
          <w:lang w:eastAsia="en-GB"/>
        </w:rPr>
        <w:t xml:space="preserve"> While there were rumors of social security being non-taxable, that is not true. The tax on social security has not changed</w:t>
      </w:r>
      <w:r w:rsidR="00D43CD3" w:rsidRPr="00D73FC6">
        <w:rPr>
          <w:rFonts w:ascii="Arial" w:eastAsia="Times New Roman" w:hAnsi="Arial" w:cs="Arial"/>
          <w:sz w:val="18"/>
          <w:szCs w:val="18"/>
          <w:lang w:eastAsia="en-GB"/>
        </w:rPr>
        <w:t xml:space="preserve"> but many seniors will still benefit from </w:t>
      </w:r>
      <w:r w:rsidR="00391338" w:rsidRPr="00D73FC6">
        <w:rPr>
          <w:rFonts w:ascii="Arial" w:eastAsia="Times New Roman" w:hAnsi="Arial" w:cs="Arial"/>
          <w:sz w:val="18"/>
          <w:szCs w:val="18"/>
          <w:lang w:eastAsia="en-GB"/>
        </w:rPr>
        <w:t>this enhanced deduction</w:t>
      </w:r>
      <w:r w:rsidR="00CF4CC0" w:rsidRPr="00D73FC6">
        <w:rPr>
          <w:rFonts w:ascii="Arial" w:eastAsia="Times New Roman" w:hAnsi="Arial" w:cs="Arial"/>
          <w:sz w:val="18"/>
          <w:szCs w:val="18"/>
          <w:lang w:eastAsia="en-GB"/>
        </w:rPr>
        <w:t>.</w:t>
      </w:r>
    </w:p>
    <w:p w14:paraId="2B4B95B3" w14:textId="795BCD37" w:rsidR="00284CB5" w:rsidRPr="00D73FC6" w:rsidRDefault="003C4378" w:rsidP="00D73FC6">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Car loan interest deduction:</w:t>
      </w:r>
      <w:r w:rsidRPr="00D73FC6">
        <w:rPr>
          <w:rFonts w:ascii="Arial" w:eastAsia="Times New Roman" w:hAnsi="Arial" w:cs="Arial"/>
          <w:sz w:val="18"/>
          <w:szCs w:val="18"/>
          <w:lang w:eastAsia="en-GB"/>
        </w:rPr>
        <w:t xml:space="preserve"> For 2025–2028, up to $10,000 of interest on loans </w:t>
      </w:r>
      <w:r w:rsidR="0011236B" w:rsidRPr="00D73FC6">
        <w:rPr>
          <w:rFonts w:ascii="Arial" w:eastAsia="Times New Roman" w:hAnsi="Arial" w:cs="Arial"/>
          <w:sz w:val="18"/>
          <w:szCs w:val="18"/>
          <w:lang w:eastAsia="en-GB"/>
        </w:rPr>
        <w:t>for new U.S.-assembled</w:t>
      </w:r>
      <w:r w:rsidRPr="00D73FC6">
        <w:rPr>
          <w:rFonts w:ascii="Arial" w:eastAsia="Times New Roman" w:hAnsi="Arial" w:cs="Arial"/>
          <w:sz w:val="18"/>
          <w:szCs w:val="18"/>
          <w:lang w:eastAsia="en-GB"/>
        </w:rPr>
        <w:t xml:space="preserve"> passenger vehicles may be deducted, subject to income phaseouts</w:t>
      </w:r>
      <w:r w:rsidR="003311EA" w:rsidRPr="00D73FC6">
        <w:rPr>
          <w:rFonts w:ascii="Arial" w:eastAsia="Times New Roman" w:hAnsi="Arial" w:cs="Arial"/>
          <w:sz w:val="18"/>
          <w:szCs w:val="18"/>
          <w:lang w:eastAsia="en-GB"/>
        </w:rPr>
        <w:t xml:space="preserve"> and other limitations</w:t>
      </w:r>
      <w:r w:rsidRPr="00D73FC6">
        <w:rPr>
          <w:rFonts w:ascii="Arial" w:eastAsia="Times New Roman" w:hAnsi="Arial" w:cs="Arial"/>
          <w:sz w:val="18"/>
          <w:szCs w:val="18"/>
          <w:lang w:eastAsia="en-GB"/>
        </w:rPr>
        <w:t>.</w:t>
      </w:r>
    </w:p>
    <w:p w14:paraId="325DBE4D" w14:textId="4DA89906" w:rsidR="003C4378" w:rsidRPr="00D73FC6" w:rsidRDefault="00CF4CC0" w:rsidP="002E1449">
      <w:pPr>
        <w:spacing w:before="240" w:after="120" w:line="360" w:lineRule="auto"/>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Changes to e</w:t>
      </w:r>
      <w:r w:rsidR="003C4378" w:rsidRPr="00D73FC6">
        <w:rPr>
          <w:rFonts w:ascii="Arial" w:eastAsia="Times New Roman" w:hAnsi="Arial" w:cs="Arial"/>
          <w:b/>
          <w:bCs/>
          <w:sz w:val="18"/>
          <w:szCs w:val="18"/>
          <w:lang w:eastAsia="en-GB"/>
        </w:rPr>
        <w:t xml:space="preserve">xisting Individual income tax provisions </w:t>
      </w:r>
    </w:p>
    <w:p w14:paraId="400A72BA" w14:textId="30A8EBF9" w:rsidR="00284CB5" w:rsidRPr="00D73FC6" w:rsidRDefault="002E1449" w:rsidP="00284CB5">
      <w:pPr>
        <w:numPr>
          <w:ilvl w:val="0"/>
          <w:numId w:val="1"/>
        </w:numPr>
        <w:spacing w:before="24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Permanent extension of lower tax rates and brackets:</w:t>
      </w:r>
      <w:r w:rsidRPr="00D73FC6">
        <w:rPr>
          <w:rFonts w:ascii="Arial" w:eastAsia="Times New Roman" w:hAnsi="Arial" w:cs="Arial"/>
          <w:sz w:val="18"/>
          <w:szCs w:val="18"/>
          <w:lang w:eastAsia="en-GB"/>
        </w:rPr>
        <w:t xml:space="preserve"> The OBBBA generally makes the tax rates enacted in 2017 in the Tax Cuts and Jobs Act (TCJA) permanent. </w:t>
      </w:r>
    </w:p>
    <w:p w14:paraId="594E7C34" w14:textId="243F582D" w:rsidR="002E1449" w:rsidRPr="00D73FC6" w:rsidRDefault="002E1449" w:rsidP="002E1449">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Standard deduction:</w:t>
      </w:r>
      <w:r w:rsidRPr="00D73FC6">
        <w:rPr>
          <w:rFonts w:ascii="Arial" w:eastAsia="Times New Roman" w:hAnsi="Arial" w:cs="Arial"/>
          <w:sz w:val="18"/>
          <w:szCs w:val="18"/>
          <w:lang w:eastAsia="en-GB"/>
        </w:rPr>
        <w:t xml:space="preserve"> The nearly doubled standard deduction </w:t>
      </w:r>
      <w:r w:rsidR="001217C2" w:rsidRPr="00D73FC6">
        <w:rPr>
          <w:rFonts w:ascii="Arial" w:eastAsia="Times New Roman" w:hAnsi="Arial" w:cs="Arial"/>
          <w:sz w:val="18"/>
          <w:szCs w:val="18"/>
          <w:lang w:eastAsia="en-GB"/>
        </w:rPr>
        <w:t>is</w:t>
      </w:r>
      <w:r w:rsidRPr="00D73FC6">
        <w:rPr>
          <w:rFonts w:ascii="Arial" w:eastAsia="Times New Roman" w:hAnsi="Arial" w:cs="Arial"/>
          <w:sz w:val="18"/>
          <w:szCs w:val="18"/>
          <w:lang w:eastAsia="en-GB"/>
        </w:rPr>
        <w:t xml:space="preserve"> made permanent</w:t>
      </w:r>
      <w:r w:rsidR="0051792C" w:rsidRPr="00D73FC6">
        <w:rPr>
          <w:rFonts w:ascii="Arial" w:eastAsia="Times New Roman" w:hAnsi="Arial" w:cs="Arial"/>
          <w:sz w:val="18"/>
          <w:szCs w:val="18"/>
          <w:lang w:eastAsia="en-GB"/>
        </w:rPr>
        <w:t>.</w:t>
      </w:r>
      <w:r w:rsidRPr="00D73FC6">
        <w:rPr>
          <w:rFonts w:ascii="Arial" w:eastAsia="Times New Roman" w:hAnsi="Arial" w:cs="Arial"/>
          <w:sz w:val="18"/>
          <w:szCs w:val="18"/>
          <w:lang w:eastAsia="en-GB"/>
        </w:rPr>
        <w:t xml:space="preserve"> </w:t>
      </w:r>
      <w:r w:rsidR="0051792C" w:rsidRPr="00D73FC6">
        <w:rPr>
          <w:rFonts w:ascii="Arial" w:eastAsia="Times New Roman" w:hAnsi="Arial" w:cs="Arial"/>
          <w:sz w:val="18"/>
          <w:szCs w:val="18"/>
          <w:lang w:eastAsia="en-GB"/>
        </w:rPr>
        <w:t>F</w:t>
      </w:r>
      <w:r w:rsidR="00391338" w:rsidRPr="00D73FC6">
        <w:rPr>
          <w:rFonts w:ascii="Arial" w:eastAsia="Times New Roman" w:hAnsi="Arial" w:cs="Arial"/>
          <w:sz w:val="18"/>
          <w:szCs w:val="18"/>
          <w:lang w:eastAsia="en-GB"/>
        </w:rPr>
        <w:t xml:space="preserve">or 2025 </w:t>
      </w:r>
      <w:r w:rsidRPr="00D73FC6">
        <w:rPr>
          <w:rFonts w:ascii="Arial" w:eastAsia="Times New Roman" w:hAnsi="Arial" w:cs="Arial"/>
          <w:sz w:val="18"/>
          <w:szCs w:val="18"/>
          <w:lang w:eastAsia="en-GB"/>
        </w:rPr>
        <w:t>the amounts are as follows</w:t>
      </w:r>
      <w:r w:rsidR="0051792C" w:rsidRPr="00D73FC6">
        <w:rPr>
          <w:rFonts w:ascii="Arial" w:eastAsia="Times New Roman" w:hAnsi="Arial" w:cs="Arial"/>
          <w:sz w:val="18"/>
          <w:szCs w:val="18"/>
          <w:lang w:eastAsia="en-GB"/>
        </w:rPr>
        <w:t>, and are adjusted for inflation thereafter</w:t>
      </w:r>
      <w:r w:rsidRPr="00D73FC6">
        <w:rPr>
          <w:rFonts w:ascii="Arial" w:eastAsia="Times New Roman" w:hAnsi="Arial" w:cs="Arial"/>
          <w:sz w:val="18"/>
          <w:szCs w:val="18"/>
          <w:lang w:eastAsia="en-GB"/>
        </w:rPr>
        <w:t xml:space="preserve">: </w:t>
      </w:r>
    </w:p>
    <w:p w14:paraId="32FFB228" w14:textId="39F12B34" w:rsidR="002E1449" w:rsidRPr="00D73FC6" w:rsidRDefault="002E1449" w:rsidP="001217C2">
      <w:pPr>
        <w:spacing w:before="120" w:after="120" w:line="360" w:lineRule="auto"/>
        <w:ind w:left="360" w:firstLine="360"/>
        <w:rPr>
          <w:rFonts w:ascii="Arial" w:eastAsia="Times New Roman" w:hAnsi="Arial" w:cs="Arial"/>
          <w:sz w:val="18"/>
          <w:szCs w:val="18"/>
          <w:lang w:eastAsia="en-GB"/>
        </w:rPr>
      </w:pPr>
      <w:r w:rsidRPr="00D73FC6">
        <w:rPr>
          <w:rFonts w:ascii="Arial" w:eastAsia="Times New Roman" w:hAnsi="Arial" w:cs="Arial"/>
          <w:b/>
          <w:bCs/>
          <w:sz w:val="18"/>
          <w:szCs w:val="18"/>
          <w:lang w:eastAsia="en-GB"/>
        </w:rPr>
        <w:t>Single &amp; Married Filing Separately (MFS)</w:t>
      </w:r>
      <w:r w:rsidRPr="00D73FC6">
        <w:rPr>
          <w:rFonts w:ascii="Arial" w:eastAsia="Times New Roman" w:hAnsi="Arial" w:cs="Arial"/>
          <w:sz w:val="18"/>
          <w:szCs w:val="18"/>
          <w:lang w:eastAsia="en-GB"/>
        </w:rPr>
        <w:t xml:space="preserve">: $15,750 </w:t>
      </w:r>
    </w:p>
    <w:p w14:paraId="16626527" w14:textId="366EDE1C" w:rsidR="002E1449" w:rsidRPr="00D73FC6" w:rsidRDefault="002E1449" w:rsidP="001217C2">
      <w:pPr>
        <w:spacing w:before="120" w:after="120" w:line="360" w:lineRule="auto"/>
        <w:ind w:left="360" w:firstLine="360"/>
        <w:rPr>
          <w:rFonts w:ascii="Arial" w:eastAsia="Times New Roman" w:hAnsi="Arial" w:cs="Arial"/>
          <w:sz w:val="18"/>
          <w:szCs w:val="18"/>
          <w:lang w:eastAsia="en-GB"/>
        </w:rPr>
      </w:pPr>
      <w:r w:rsidRPr="00D73FC6">
        <w:rPr>
          <w:rFonts w:ascii="Arial" w:eastAsia="Times New Roman" w:hAnsi="Arial" w:cs="Arial"/>
          <w:b/>
          <w:bCs/>
          <w:sz w:val="18"/>
          <w:szCs w:val="18"/>
          <w:lang w:eastAsia="en-GB"/>
        </w:rPr>
        <w:t>Head of Household (</w:t>
      </w:r>
      <w:proofErr w:type="spellStart"/>
      <w:r w:rsidRPr="00D73FC6">
        <w:rPr>
          <w:rFonts w:ascii="Arial" w:eastAsia="Times New Roman" w:hAnsi="Arial" w:cs="Arial"/>
          <w:b/>
          <w:bCs/>
          <w:sz w:val="18"/>
          <w:szCs w:val="18"/>
          <w:lang w:eastAsia="en-GB"/>
        </w:rPr>
        <w:t>HoH</w:t>
      </w:r>
      <w:proofErr w:type="spellEnd"/>
      <w:r w:rsidRPr="00D73FC6">
        <w:rPr>
          <w:rFonts w:ascii="Arial" w:eastAsia="Times New Roman" w:hAnsi="Arial" w:cs="Arial"/>
          <w:b/>
          <w:bCs/>
          <w:sz w:val="18"/>
          <w:szCs w:val="18"/>
          <w:lang w:eastAsia="en-GB"/>
        </w:rPr>
        <w:t>):</w:t>
      </w:r>
      <w:r w:rsidRPr="00D73FC6">
        <w:rPr>
          <w:rFonts w:ascii="Arial" w:eastAsia="Times New Roman" w:hAnsi="Arial" w:cs="Arial"/>
          <w:sz w:val="18"/>
          <w:szCs w:val="18"/>
          <w:lang w:eastAsia="en-GB"/>
        </w:rPr>
        <w:t xml:space="preserve"> $23,625</w:t>
      </w:r>
    </w:p>
    <w:p w14:paraId="57CF3A9F" w14:textId="1A276ED8" w:rsidR="002E1449" w:rsidRPr="00D73FC6" w:rsidRDefault="002E1449" w:rsidP="001217C2">
      <w:pPr>
        <w:spacing w:before="120" w:after="120" w:line="360" w:lineRule="auto"/>
        <w:ind w:left="360" w:firstLine="360"/>
        <w:rPr>
          <w:rFonts w:ascii="Arial" w:eastAsia="Times New Roman" w:hAnsi="Arial" w:cs="Arial"/>
          <w:sz w:val="18"/>
          <w:szCs w:val="18"/>
          <w:lang w:eastAsia="en-GB"/>
        </w:rPr>
      </w:pPr>
      <w:r w:rsidRPr="00D73FC6">
        <w:rPr>
          <w:rFonts w:ascii="Arial" w:eastAsia="Times New Roman" w:hAnsi="Arial" w:cs="Arial"/>
          <w:b/>
          <w:bCs/>
          <w:sz w:val="18"/>
          <w:szCs w:val="18"/>
          <w:lang w:eastAsia="en-GB"/>
        </w:rPr>
        <w:t>Married Filing Jointly (MFJ):</w:t>
      </w:r>
      <w:r w:rsidRPr="00D73FC6">
        <w:rPr>
          <w:rFonts w:ascii="Arial" w:eastAsia="Times New Roman" w:hAnsi="Arial" w:cs="Arial"/>
          <w:sz w:val="18"/>
          <w:szCs w:val="18"/>
          <w:lang w:eastAsia="en-GB"/>
        </w:rPr>
        <w:t xml:space="preserve"> $31,500</w:t>
      </w:r>
    </w:p>
    <w:p w14:paraId="4408BB1B" w14:textId="1F9C1599" w:rsidR="002E1449" w:rsidRPr="00D73FC6" w:rsidRDefault="002E1449" w:rsidP="002E1449">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 xml:space="preserve">Child Tax Credit: </w:t>
      </w:r>
      <w:r w:rsidRPr="00D73FC6">
        <w:rPr>
          <w:rFonts w:ascii="Arial" w:eastAsia="Times New Roman" w:hAnsi="Arial" w:cs="Arial"/>
          <w:sz w:val="18"/>
          <w:szCs w:val="18"/>
          <w:lang w:eastAsia="en-GB"/>
        </w:rPr>
        <w:t>The nonrefundable child tax credit increases to $2,200 per child</w:t>
      </w:r>
      <w:r w:rsidR="001217C2" w:rsidRPr="00D73FC6">
        <w:rPr>
          <w:rFonts w:ascii="Arial" w:eastAsia="Times New Roman" w:hAnsi="Arial" w:cs="Arial"/>
          <w:sz w:val="18"/>
          <w:szCs w:val="18"/>
          <w:lang w:eastAsia="en-GB"/>
        </w:rPr>
        <w:t xml:space="preserve"> </w:t>
      </w:r>
      <w:r w:rsidRPr="00D73FC6">
        <w:rPr>
          <w:rFonts w:ascii="Arial" w:eastAsia="Times New Roman" w:hAnsi="Arial" w:cs="Arial"/>
          <w:sz w:val="18"/>
          <w:szCs w:val="18"/>
          <w:lang w:eastAsia="en-GB"/>
        </w:rPr>
        <w:t>and the credit amount is indexed for inflation</w:t>
      </w:r>
      <w:r w:rsidR="0051792C" w:rsidRPr="00D73FC6">
        <w:rPr>
          <w:rFonts w:ascii="Arial" w:eastAsia="Times New Roman" w:hAnsi="Arial" w:cs="Arial"/>
          <w:sz w:val="18"/>
          <w:szCs w:val="18"/>
          <w:lang w:eastAsia="en-GB"/>
        </w:rPr>
        <w:t xml:space="preserve"> thereafter</w:t>
      </w:r>
      <w:r w:rsidRPr="00D73FC6">
        <w:rPr>
          <w:rFonts w:ascii="Arial" w:eastAsia="Times New Roman" w:hAnsi="Arial" w:cs="Arial"/>
          <w:sz w:val="18"/>
          <w:szCs w:val="18"/>
          <w:lang w:eastAsia="en-GB"/>
        </w:rPr>
        <w:t>.</w:t>
      </w:r>
      <w:r w:rsidRPr="00D73FC6">
        <w:rPr>
          <w:rFonts w:ascii="Arial" w:hAnsi="Arial" w:cs="Arial"/>
          <w:color w:val="444444"/>
          <w:sz w:val="18"/>
          <w:szCs w:val="18"/>
          <w:shd w:val="clear" w:color="auto" w:fill="FFFFFF"/>
        </w:rPr>
        <w:t> </w:t>
      </w:r>
    </w:p>
    <w:p w14:paraId="538CDD59" w14:textId="575229FF" w:rsidR="002E1449" w:rsidRPr="00D73FC6" w:rsidRDefault="002E1449" w:rsidP="002E1449">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SALT deduction cap:</w:t>
      </w:r>
      <w:r w:rsidRPr="00D73FC6">
        <w:rPr>
          <w:rFonts w:ascii="Arial" w:eastAsia="Times New Roman" w:hAnsi="Arial" w:cs="Arial"/>
          <w:sz w:val="18"/>
          <w:szCs w:val="18"/>
          <w:lang w:eastAsia="en-GB"/>
        </w:rPr>
        <w:t xml:space="preserve"> The state and local tax (SALT) deduction cap is increased to $40,000 and</w:t>
      </w:r>
      <w:r w:rsidR="002C20A9" w:rsidRPr="00D73FC6">
        <w:rPr>
          <w:rFonts w:ascii="Arial" w:eastAsia="Times New Roman" w:hAnsi="Arial" w:cs="Arial"/>
          <w:sz w:val="18"/>
          <w:szCs w:val="18"/>
          <w:lang w:eastAsia="en-GB"/>
        </w:rPr>
        <w:t xml:space="preserve"> is</w:t>
      </w:r>
      <w:r w:rsidRPr="00D73FC6">
        <w:rPr>
          <w:rFonts w:ascii="Arial" w:eastAsia="Times New Roman" w:hAnsi="Arial" w:cs="Arial"/>
          <w:sz w:val="18"/>
          <w:szCs w:val="18"/>
          <w:lang w:eastAsia="en-GB"/>
        </w:rPr>
        <w:t xml:space="preserve"> phased out for taxpayers with modified adjusted gross income over $500,000. In 2030 the deduction will </w:t>
      </w:r>
      <w:r w:rsidR="00391338" w:rsidRPr="00D73FC6">
        <w:rPr>
          <w:rFonts w:ascii="Arial" w:eastAsia="Times New Roman" w:hAnsi="Arial" w:cs="Arial"/>
          <w:sz w:val="18"/>
          <w:szCs w:val="18"/>
          <w:lang w:eastAsia="en-GB"/>
        </w:rPr>
        <w:t>return back</w:t>
      </w:r>
      <w:r w:rsidRPr="00D73FC6">
        <w:rPr>
          <w:rFonts w:ascii="Arial" w:eastAsia="Times New Roman" w:hAnsi="Arial" w:cs="Arial"/>
          <w:sz w:val="18"/>
          <w:szCs w:val="18"/>
          <w:lang w:eastAsia="en-GB"/>
        </w:rPr>
        <w:t xml:space="preserve"> to $10,000.</w:t>
      </w:r>
    </w:p>
    <w:p w14:paraId="011BE3A8" w14:textId="77777777" w:rsidR="002E1449" w:rsidRPr="00D73FC6" w:rsidRDefault="002E1449" w:rsidP="002E1449">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Moving expense deduction:</w:t>
      </w:r>
      <w:r w:rsidRPr="00D73FC6">
        <w:rPr>
          <w:rFonts w:ascii="Arial" w:eastAsia="Times New Roman" w:hAnsi="Arial" w:cs="Arial"/>
          <w:sz w:val="18"/>
          <w:szCs w:val="18"/>
          <w:lang w:eastAsia="en-GB"/>
        </w:rPr>
        <w:t xml:space="preserve"> The deduction is permanently terminated except for those in the Armed Forces. </w:t>
      </w:r>
    </w:p>
    <w:p w14:paraId="25F95868" w14:textId="6B8FDDEC" w:rsidR="002E1449" w:rsidRPr="00D73FC6" w:rsidRDefault="002E1449" w:rsidP="002E1449">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Home mortgage interest and insurance premiums:</w:t>
      </w:r>
      <w:r w:rsidRPr="00D73FC6">
        <w:rPr>
          <w:rFonts w:ascii="Arial" w:eastAsia="Times New Roman" w:hAnsi="Arial" w:cs="Arial"/>
          <w:sz w:val="18"/>
          <w:szCs w:val="18"/>
          <w:lang w:eastAsia="en-GB"/>
        </w:rPr>
        <w:t xml:space="preserve"> The $750,000 limit on mortgage</w:t>
      </w:r>
      <w:r w:rsidR="007C29AD" w:rsidRPr="00D73FC6">
        <w:rPr>
          <w:rFonts w:ascii="Arial" w:eastAsia="Times New Roman" w:hAnsi="Arial" w:cs="Arial"/>
          <w:sz w:val="18"/>
          <w:szCs w:val="18"/>
          <w:lang w:eastAsia="en-GB"/>
        </w:rPr>
        <w:t xml:space="preserve"> interest and mortgage</w:t>
      </w:r>
      <w:r w:rsidRPr="00D73FC6">
        <w:rPr>
          <w:rFonts w:ascii="Arial" w:eastAsia="Times New Roman" w:hAnsi="Arial" w:cs="Arial"/>
          <w:sz w:val="18"/>
          <w:szCs w:val="18"/>
          <w:lang w:eastAsia="en-GB"/>
        </w:rPr>
        <w:t xml:space="preserve"> insurance premiums </w:t>
      </w:r>
      <w:r w:rsidR="007C29AD" w:rsidRPr="00D73FC6">
        <w:rPr>
          <w:rFonts w:ascii="Arial" w:eastAsia="Times New Roman" w:hAnsi="Arial" w:cs="Arial"/>
          <w:sz w:val="18"/>
          <w:szCs w:val="18"/>
          <w:lang w:eastAsia="en-GB"/>
        </w:rPr>
        <w:t>on</w:t>
      </w:r>
      <w:r w:rsidR="00284CB5" w:rsidRPr="00D73FC6">
        <w:rPr>
          <w:rFonts w:ascii="Arial" w:eastAsia="Times New Roman" w:hAnsi="Arial" w:cs="Arial"/>
          <w:sz w:val="18"/>
          <w:szCs w:val="18"/>
          <w:lang w:eastAsia="en-GB"/>
        </w:rPr>
        <w:t xml:space="preserve"> a</w:t>
      </w:r>
      <w:r w:rsidRPr="00D73FC6">
        <w:rPr>
          <w:rFonts w:ascii="Arial" w:eastAsia="Times New Roman" w:hAnsi="Arial" w:cs="Arial"/>
          <w:sz w:val="18"/>
          <w:szCs w:val="18"/>
          <w:lang w:eastAsia="en-GB"/>
        </w:rPr>
        <w:t xml:space="preserve"> qualified residence is made permanent. The exclusion of home-equity indebtedness</w:t>
      </w:r>
      <w:r w:rsidR="002C20A9" w:rsidRPr="00D73FC6">
        <w:rPr>
          <w:rFonts w:ascii="Arial" w:eastAsia="Times New Roman" w:hAnsi="Arial" w:cs="Arial"/>
          <w:sz w:val="18"/>
          <w:szCs w:val="18"/>
          <w:lang w:eastAsia="en-GB"/>
        </w:rPr>
        <w:t>,</w:t>
      </w:r>
      <w:r w:rsidR="007C29AD" w:rsidRPr="00D73FC6">
        <w:rPr>
          <w:rFonts w:ascii="Arial" w:eastAsia="Times New Roman" w:hAnsi="Arial" w:cs="Arial"/>
          <w:sz w:val="18"/>
          <w:szCs w:val="18"/>
          <w:lang w:eastAsia="en-GB"/>
        </w:rPr>
        <w:t xml:space="preserve"> unless used to buy, build, or substantially improve the residence securing the loan</w:t>
      </w:r>
      <w:r w:rsidR="002C20A9" w:rsidRPr="00D73FC6">
        <w:rPr>
          <w:rFonts w:ascii="Arial" w:eastAsia="Times New Roman" w:hAnsi="Arial" w:cs="Arial"/>
          <w:sz w:val="18"/>
          <w:szCs w:val="18"/>
          <w:lang w:eastAsia="en-GB"/>
        </w:rPr>
        <w:t>,</w:t>
      </w:r>
      <w:r w:rsidR="007C29AD" w:rsidRPr="00D73FC6">
        <w:rPr>
          <w:rFonts w:ascii="Arial" w:eastAsia="Times New Roman" w:hAnsi="Arial" w:cs="Arial"/>
          <w:sz w:val="18"/>
          <w:szCs w:val="18"/>
          <w:lang w:eastAsia="en-GB"/>
        </w:rPr>
        <w:t xml:space="preserve"> </w:t>
      </w:r>
      <w:r w:rsidRPr="00D73FC6">
        <w:rPr>
          <w:rFonts w:ascii="Arial" w:eastAsia="Times New Roman" w:hAnsi="Arial" w:cs="Arial"/>
          <w:sz w:val="18"/>
          <w:szCs w:val="18"/>
          <w:lang w:eastAsia="en-GB"/>
        </w:rPr>
        <w:t xml:space="preserve">is also now permanent. </w:t>
      </w:r>
    </w:p>
    <w:p w14:paraId="69C16658" w14:textId="107679F9" w:rsidR="002E1449" w:rsidRPr="00D73FC6" w:rsidRDefault="002E1449" w:rsidP="002E1449">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lastRenderedPageBreak/>
        <w:t>Casualty loss deduction for personal casualties</w:t>
      </w:r>
      <w:r w:rsidRPr="00D73FC6">
        <w:rPr>
          <w:sz w:val="18"/>
          <w:szCs w:val="18"/>
        </w:rPr>
        <w:t xml:space="preserve">: </w:t>
      </w:r>
      <w:r w:rsidRPr="00D73FC6">
        <w:rPr>
          <w:rFonts w:ascii="Arial" w:eastAsia="Times New Roman" w:hAnsi="Arial" w:cs="Arial"/>
          <w:sz w:val="18"/>
          <w:szCs w:val="18"/>
          <w:lang w:eastAsia="en-GB"/>
        </w:rPr>
        <w:t>The limitation on personal casualty loss deductions</w:t>
      </w:r>
      <w:r w:rsidR="002C20A9" w:rsidRPr="00D73FC6">
        <w:rPr>
          <w:rFonts w:ascii="Arial" w:eastAsia="Times New Roman" w:hAnsi="Arial" w:cs="Arial"/>
          <w:sz w:val="18"/>
          <w:szCs w:val="18"/>
          <w:lang w:eastAsia="en-GB"/>
        </w:rPr>
        <w:t>, unless from a federally-declared disaster,</w:t>
      </w:r>
      <w:r w:rsidRPr="00D73FC6">
        <w:rPr>
          <w:rFonts w:ascii="Arial" w:eastAsia="Times New Roman" w:hAnsi="Arial" w:cs="Arial"/>
          <w:sz w:val="18"/>
          <w:szCs w:val="18"/>
          <w:lang w:eastAsia="en-GB"/>
        </w:rPr>
        <w:t xml:space="preserve"> is made permanent</w:t>
      </w:r>
      <w:r w:rsidR="00C67FB2" w:rsidRPr="00D73FC6">
        <w:rPr>
          <w:rFonts w:ascii="Arial" w:eastAsia="Times New Roman" w:hAnsi="Arial" w:cs="Arial"/>
          <w:sz w:val="18"/>
          <w:szCs w:val="18"/>
          <w:lang w:eastAsia="en-GB"/>
        </w:rPr>
        <w:t>.</w:t>
      </w:r>
      <w:r w:rsidRPr="00D73FC6">
        <w:rPr>
          <w:rFonts w:ascii="Arial" w:eastAsia="Times New Roman" w:hAnsi="Arial" w:cs="Arial"/>
          <w:sz w:val="18"/>
          <w:szCs w:val="18"/>
          <w:lang w:eastAsia="en-GB"/>
        </w:rPr>
        <w:t xml:space="preserve"> </w:t>
      </w:r>
      <w:r w:rsidR="00C67FB2" w:rsidRPr="00D73FC6">
        <w:rPr>
          <w:rFonts w:ascii="Arial" w:eastAsia="Times New Roman" w:hAnsi="Arial" w:cs="Arial"/>
          <w:sz w:val="18"/>
          <w:szCs w:val="18"/>
          <w:lang w:eastAsia="en-GB"/>
        </w:rPr>
        <w:t>H</w:t>
      </w:r>
      <w:r w:rsidRPr="00D73FC6">
        <w:rPr>
          <w:rFonts w:ascii="Arial" w:eastAsia="Times New Roman" w:hAnsi="Arial" w:cs="Arial"/>
          <w:sz w:val="18"/>
          <w:szCs w:val="18"/>
          <w:lang w:eastAsia="en-GB"/>
        </w:rPr>
        <w:t>owever a provision is added to include state-declared disasters.</w:t>
      </w:r>
    </w:p>
    <w:p w14:paraId="63054B2C" w14:textId="7FBB1EA5" w:rsidR="00284CB5" w:rsidRPr="00D73FC6" w:rsidRDefault="00284CB5" w:rsidP="00284CB5">
      <w:pPr>
        <w:numPr>
          <w:ilvl w:val="0"/>
          <w:numId w:val="1"/>
        </w:numPr>
        <w:spacing w:before="120" w:after="120" w:line="360" w:lineRule="auto"/>
        <w:ind w:left="360"/>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Residential energy Credits:</w:t>
      </w:r>
      <w:r w:rsidRPr="00D73FC6">
        <w:rPr>
          <w:rFonts w:ascii="Arial" w:eastAsia="Times New Roman" w:hAnsi="Arial" w:cs="Arial"/>
          <w:sz w:val="18"/>
          <w:szCs w:val="18"/>
          <w:lang w:eastAsia="en-GB"/>
        </w:rPr>
        <w:t xml:space="preserve"> Energy credits for homeowners remain in effect for systems installed and in service by December 31, 2025. The credits have been eliminated after this date.</w:t>
      </w:r>
    </w:p>
    <w:p w14:paraId="5870227D" w14:textId="00F07026" w:rsidR="00C945B5" w:rsidRPr="00D73FC6" w:rsidRDefault="002E1449" w:rsidP="00C945B5">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Other deductions and credits:</w:t>
      </w:r>
      <w:r w:rsidRPr="00D73FC6">
        <w:rPr>
          <w:rFonts w:ascii="Arial" w:eastAsia="Times New Roman" w:hAnsi="Arial" w:cs="Arial"/>
          <w:sz w:val="18"/>
          <w:szCs w:val="18"/>
          <w:lang w:eastAsia="en-GB"/>
        </w:rPr>
        <w:t xml:space="preserve"> Several other deductions and credits, including the adoption credit, employer-provided childcare credit, paid family and medical leave credit, and education-related benefits are made permanent. </w:t>
      </w:r>
    </w:p>
    <w:p w14:paraId="75DA99DC" w14:textId="3327B81E" w:rsidR="00CF4CC0" w:rsidRPr="00D73FC6" w:rsidRDefault="00CF4CC0" w:rsidP="00CF4CC0">
      <w:pPr>
        <w:spacing w:before="120" w:after="120" w:line="360" w:lineRule="auto"/>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Effective 2026 for individuals</w:t>
      </w:r>
    </w:p>
    <w:p w14:paraId="6785BD27" w14:textId="37EC55C1" w:rsidR="00CF4CC0" w:rsidRPr="00D73FC6" w:rsidRDefault="00CF4CC0" w:rsidP="00CF4CC0">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Charitable deduction for non-itemizers:</w:t>
      </w:r>
      <w:r w:rsidRPr="00D73FC6">
        <w:rPr>
          <w:rFonts w:ascii="Arial" w:eastAsia="Times New Roman" w:hAnsi="Arial" w:cs="Arial"/>
          <w:sz w:val="18"/>
          <w:szCs w:val="18"/>
          <w:lang w:eastAsia="en-GB"/>
        </w:rPr>
        <w:t xml:space="preserve"> An above-the-line deduction is added for charitable contributions ($1,000 for single filers, $2,000 for joint filers).</w:t>
      </w:r>
    </w:p>
    <w:p w14:paraId="6894A418" w14:textId="41435EE7" w:rsidR="00CF4CC0" w:rsidRPr="00D73FC6" w:rsidRDefault="00CF4CC0" w:rsidP="00CF4CC0">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Estate and gift tax exemption:</w:t>
      </w:r>
      <w:r w:rsidRPr="00D73FC6">
        <w:rPr>
          <w:rFonts w:ascii="Arial" w:eastAsia="Times New Roman" w:hAnsi="Arial" w:cs="Arial"/>
          <w:sz w:val="18"/>
          <w:szCs w:val="18"/>
          <w:lang w:eastAsia="en-GB"/>
        </w:rPr>
        <w:t xml:space="preserve"> The increased exemption is made permanent and raised to $15 million per individual ($30 million for married couples) in 2026</w:t>
      </w:r>
      <w:r w:rsidR="0044778A" w:rsidRPr="00D73FC6">
        <w:rPr>
          <w:rFonts w:ascii="Arial" w:eastAsia="Times New Roman" w:hAnsi="Arial" w:cs="Arial"/>
          <w:sz w:val="18"/>
          <w:szCs w:val="18"/>
          <w:lang w:eastAsia="en-GB"/>
        </w:rPr>
        <w:t>,</w:t>
      </w:r>
      <w:r w:rsidR="00284CB5" w:rsidRPr="00D73FC6">
        <w:rPr>
          <w:rFonts w:ascii="Arial" w:eastAsia="Times New Roman" w:hAnsi="Arial" w:cs="Arial"/>
          <w:sz w:val="18"/>
          <w:szCs w:val="18"/>
          <w:lang w:eastAsia="en-GB"/>
        </w:rPr>
        <w:t xml:space="preserve"> and</w:t>
      </w:r>
      <w:r w:rsidRPr="00D73FC6">
        <w:rPr>
          <w:rFonts w:ascii="Arial" w:eastAsia="Times New Roman" w:hAnsi="Arial" w:cs="Arial"/>
          <w:sz w:val="18"/>
          <w:szCs w:val="18"/>
          <w:lang w:eastAsia="en-GB"/>
        </w:rPr>
        <w:t xml:space="preserve"> indexed for inflation</w:t>
      </w:r>
      <w:r w:rsidR="00284CB5" w:rsidRPr="00D73FC6">
        <w:rPr>
          <w:rFonts w:ascii="Arial" w:eastAsia="Times New Roman" w:hAnsi="Arial" w:cs="Arial"/>
          <w:sz w:val="18"/>
          <w:szCs w:val="18"/>
          <w:lang w:eastAsia="en-GB"/>
        </w:rPr>
        <w:t xml:space="preserve"> thereafter</w:t>
      </w:r>
      <w:r w:rsidRPr="00D73FC6">
        <w:rPr>
          <w:rFonts w:ascii="Arial" w:eastAsia="Times New Roman" w:hAnsi="Arial" w:cs="Arial"/>
          <w:sz w:val="18"/>
          <w:szCs w:val="18"/>
          <w:lang w:eastAsia="en-GB"/>
        </w:rPr>
        <w:t>.</w:t>
      </w:r>
    </w:p>
    <w:p w14:paraId="5A941245" w14:textId="0EE3DF8E" w:rsidR="00D43CD3" w:rsidRPr="00D73FC6" w:rsidRDefault="00D43CD3" w:rsidP="00CF4CC0">
      <w:pPr>
        <w:numPr>
          <w:ilvl w:val="0"/>
          <w:numId w:val="1"/>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Trump accounts:</w:t>
      </w:r>
      <w:r w:rsidRPr="00D73FC6">
        <w:rPr>
          <w:rFonts w:ascii="Arial" w:eastAsia="Times New Roman" w:hAnsi="Arial" w:cs="Arial"/>
          <w:sz w:val="18"/>
          <w:szCs w:val="18"/>
          <w:lang w:eastAsia="en-GB"/>
        </w:rPr>
        <w:t xml:space="preserve"> Accounts are seeded with $1,000 for newborn children. These accounts </w:t>
      </w:r>
      <w:r w:rsidR="00A1339D" w:rsidRPr="00D73FC6">
        <w:rPr>
          <w:rFonts w:ascii="Arial" w:eastAsia="Times New Roman" w:hAnsi="Arial" w:cs="Arial"/>
          <w:sz w:val="18"/>
          <w:szCs w:val="18"/>
          <w:lang w:eastAsia="en-GB"/>
        </w:rPr>
        <w:t xml:space="preserve">will be considered IRAs (but not a Roth IRA) </w:t>
      </w:r>
      <w:r w:rsidRPr="00D73FC6">
        <w:rPr>
          <w:rFonts w:ascii="Arial" w:eastAsia="Times New Roman" w:hAnsi="Arial" w:cs="Arial"/>
          <w:sz w:val="18"/>
          <w:szCs w:val="18"/>
          <w:lang w:eastAsia="en-GB"/>
        </w:rPr>
        <w:t>allowing taxpayers to deduct contributions today and pay the tax later when it is distributed. Contributions may be made until the year the child turns 18</w:t>
      </w:r>
      <w:r w:rsidR="00A1339D" w:rsidRPr="00D73FC6">
        <w:rPr>
          <w:rFonts w:ascii="Arial" w:eastAsia="Times New Roman" w:hAnsi="Arial" w:cs="Arial"/>
          <w:sz w:val="18"/>
          <w:szCs w:val="18"/>
          <w:lang w:eastAsia="en-GB"/>
        </w:rPr>
        <w:t xml:space="preserve"> with annual limitations. Distributions may be made starting in the year the child turns 18.</w:t>
      </w:r>
      <w:r w:rsidR="00391338" w:rsidRPr="00D73FC6">
        <w:rPr>
          <w:rFonts w:ascii="Arial" w:eastAsia="Times New Roman" w:hAnsi="Arial" w:cs="Arial"/>
          <w:sz w:val="18"/>
          <w:szCs w:val="18"/>
          <w:lang w:eastAsia="en-GB"/>
        </w:rPr>
        <w:t xml:space="preserve"> </w:t>
      </w:r>
    </w:p>
    <w:p w14:paraId="52D51C73" w14:textId="3520FA00" w:rsidR="00CF4CC0" w:rsidRPr="00D73FC6" w:rsidRDefault="00D43CD3" w:rsidP="002E1449">
      <w:pPr>
        <w:spacing w:before="240" w:after="120" w:line="360" w:lineRule="auto"/>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Changes to e</w:t>
      </w:r>
      <w:r w:rsidR="00CF4CC0" w:rsidRPr="00D73FC6">
        <w:rPr>
          <w:rFonts w:ascii="Arial" w:eastAsia="Times New Roman" w:hAnsi="Arial" w:cs="Arial"/>
          <w:b/>
          <w:bCs/>
          <w:sz w:val="18"/>
          <w:szCs w:val="18"/>
          <w:lang w:eastAsia="en-GB"/>
        </w:rPr>
        <w:t>xisting business income tax provisions</w:t>
      </w:r>
    </w:p>
    <w:p w14:paraId="431E1469" w14:textId="77CD7429" w:rsidR="002E1449" w:rsidRPr="00D73FC6" w:rsidRDefault="002E1449" w:rsidP="002E1449">
      <w:pPr>
        <w:numPr>
          <w:ilvl w:val="0"/>
          <w:numId w:val="1"/>
        </w:numPr>
        <w:spacing w:before="240" w:after="120" w:line="360" w:lineRule="auto"/>
        <w:ind w:left="360"/>
        <w:rPr>
          <w:rFonts w:ascii="Arial" w:hAnsi="Arial" w:cs="Arial"/>
          <w:sz w:val="18"/>
          <w:szCs w:val="18"/>
        </w:rPr>
      </w:pPr>
      <w:r w:rsidRPr="00D73FC6">
        <w:rPr>
          <w:rFonts w:ascii="Arial" w:eastAsia="Times New Roman" w:hAnsi="Arial" w:cs="Arial"/>
          <w:b/>
          <w:bCs/>
          <w:sz w:val="18"/>
          <w:szCs w:val="18"/>
          <w:lang w:eastAsia="en-GB"/>
        </w:rPr>
        <w:t xml:space="preserve">QBI deduction: </w:t>
      </w:r>
      <w:r w:rsidRPr="00D73FC6">
        <w:rPr>
          <w:rFonts w:ascii="Arial" w:hAnsi="Arial" w:cs="Arial"/>
          <w:sz w:val="18"/>
          <w:szCs w:val="18"/>
        </w:rPr>
        <w:t xml:space="preserve">The </w:t>
      </w:r>
      <w:r w:rsidRPr="00D73FC6">
        <w:rPr>
          <w:rFonts w:ascii="Arial" w:eastAsia="Times New Roman" w:hAnsi="Arial" w:cs="Arial"/>
          <w:sz w:val="18"/>
          <w:szCs w:val="18"/>
          <w:lang w:eastAsia="en-GB"/>
        </w:rPr>
        <w:t>qualified business income (</w:t>
      </w:r>
      <w:r w:rsidRPr="00D73FC6">
        <w:rPr>
          <w:rFonts w:ascii="Arial" w:hAnsi="Arial" w:cs="Arial"/>
          <w:sz w:val="18"/>
          <w:szCs w:val="18"/>
        </w:rPr>
        <w:t>QBI) deduction is made permanent and the deductible amount for each qualified business remain</w:t>
      </w:r>
      <w:r w:rsidR="00391338" w:rsidRPr="00D73FC6">
        <w:rPr>
          <w:rFonts w:ascii="Arial" w:hAnsi="Arial" w:cs="Arial"/>
          <w:sz w:val="18"/>
          <w:szCs w:val="18"/>
        </w:rPr>
        <w:t>s</w:t>
      </w:r>
      <w:r w:rsidRPr="00D73FC6">
        <w:rPr>
          <w:rFonts w:ascii="Arial" w:hAnsi="Arial" w:cs="Arial"/>
          <w:sz w:val="18"/>
          <w:szCs w:val="18"/>
        </w:rPr>
        <w:t xml:space="preserve"> at 20%. </w:t>
      </w:r>
    </w:p>
    <w:p w14:paraId="7401DF4D" w14:textId="1F28596F" w:rsidR="002E1449" w:rsidRPr="00D73FC6" w:rsidRDefault="002E1449" w:rsidP="002E1449">
      <w:pPr>
        <w:numPr>
          <w:ilvl w:val="0"/>
          <w:numId w:val="2"/>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Bonus depreciation:</w:t>
      </w:r>
      <w:r w:rsidRPr="00D73FC6">
        <w:rPr>
          <w:rFonts w:ascii="Arial" w:eastAsia="Times New Roman" w:hAnsi="Arial" w:cs="Arial"/>
          <w:sz w:val="18"/>
          <w:szCs w:val="18"/>
          <w:lang w:eastAsia="en-GB"/>
        </w:rPr>
        <w:t xml:space="preserve"> 100% expensing (bonus depreciation) for qualified property is restored for property placed in service after Jan</w:t>
      </w:r>
      <w:r w:rsidR="0044778A" w:rsidRPr="00D73FC6">
        <w:rPr>
          <w:rFonts w:ascii="Arial" w:eastAsia="Times New Roman" w:hAnsi="Arial" w:cs="Arial"/>
          <w:sz w:val="18"/>
          <w:szCs w:val="18"/>
          <w:lang w:eastAsia="en-GB"/>
        </w:rPr>
        <w:t>uary</w:t>
      </w:r>
      <w:r w:rsidRPr="00D73FC6">
        <w:rPr>
          <w:rFonts w:ascii="Arial" w:eastAsia="Times New Roman" w:hAnsi="Arial" w:cs="Arial"/>
          <w:sz w:val="18"/>
          <w:szCs w:val="18"/>
          <w:lang w:eastAsia="en-GB"/>
        </w:rPr>
        <w:t xml:space="preserve"> 19, 2025.</w:t>
      </w:r>
    </w:p>
    <w:p w14:paraId="06E0810A" w14:textId="77777777" w:rsidR="002E1449" w:rsidRPr="00D73FC6" w:rsidRDefault="002E1449" w:rsidP="002E1449">
      <w:pPr>
        <w:numPr>
          <w:ilvl w:val="0"/>
          <w:numId w:val="2"/>
        </w:numPr>
        <w:spacing w:before="12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Sec. 179 expensing:</w:t>
      </w:r>
      <w:r w:rsidRPr="00D73FC6">
        <w:rPr>
          <w:rFonts w:ascii="Arial" w:eastAsia="Times New Roman" w:hAnsi="Arial" w:cs="Arial"/>
          <w:sz w:val="18"/>
          <w:szCs w:val="18"/>
          <w:lang w:eastAsia="en-GB"/>
        </w:rPr>
        <w:t xml:space="preserve"> The maximum amount a business may expense for qualifying expenses is increased to $2.5 million, with the phaseout threshold raised to $4 million, both indexed for inflation after 2025.</w:t>
      </w:r>
    </w:p>
    <w:p w14:paraId="6DC31E0B" w14:textId="77777777" w:rsidR="002E1449" w:rsidRPr="00D73FC6" w:rsidRDefault="002E1449" w:rsidP="002E1449">
      <w:pPr>
        <w:numPr>
          <w:ilvl w:val="0"/>
          <w:numId w:val="2"/>
        </w:numPr>
        <w:spacing w:before="120" w:after="120" w:line="360" w:lineRule="auto"/>
        <w:ind w:left="360"/>
        <w:rPr>
          <w:rFonts w:eastAsiaTheme="minorEastAsia"/>
          <w:sz w:val="18"/>
          <w:szCs w:val="18"/>
        </w:rPr>
      </w:pPr>
      <w:r w:rsidRPr="00D73FC6">
        <w:rPr>
          <w:rFonts w:ascii="Arial" w:eastAsia="Times New Roman" w:hAnsi="Arial" w:cs="Arial"/>
          <w:b/>
          <w:bCs/>
          <w:sz w:val="18"/>
          <w:szCs w:val="18"/>
          <w:lang w:eastAsia="en-GB"/>
        </w:rPr>
        <w:t>R&amp;E expenditures:</w:t>
      </w:r>
      <w:r w:rsidRPr="00D73FC6">
        <w:rPr>
          <w:rFonts w:ascii="Arial" w:eastAsia="Times New Roman" w:hAnsi="Arial" w:cs="Arial"/>
          <w:sz w:val="18"/>
          <w:szCs w:val="18"/>
          <w:lang w:eastAsia="en-GB"/>
        </w:rPr>
        <w:t xml:space="preserve"> Immediate deduction of domestic research or experimental expenses paid or incurred in 2025 is allowed. However, research or experimental expenses attributable to research that is conducted outside the United States will continue to be capitalized and amortized over 15 years.  </w:t>
      </w:r>
    </w:p>
    <w:p w14:paraId="5261756A" w14:textId="77777777" w:rsidR="002E1449" w:rsidRPr="00D73FC6" w:rsidRDefault="002E1449" w:rsidP="002E1449">
      <w:pPr>
        <w:numPr>
          <w:ilvl w:val="0"/>
          <w:numId w:val="2"/>
        </w:numPr>
        <w:spacing w:before="120" w:after="120" w:line="360" w:lineRule="auto"/>
        <w:ind w:left="360"/>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 xml:space="preserve">Third-party network transaction reporting threshold: </w:t>
      </w:r>
      <w:r w:rsidRPr="00D73FC6">
        <w:rPr>
          <w:rFonts w:ascii="Arial" w:hAnsi="Arial" w:cs="Arial"/>
          <w:sz w:val="18"/>
          <w:szCs w:val="18"/>
        </w:rPr>
        <w:t>Form 1099-K, </w:t>
      </w:r>
      <w:r w:rsidRPr="00D73FC6">
        <w:rPr>
          <w:rFonts w:ascii="Arial" w:hAnsi="Arial" w:cs="Arial"/>
          <w:i/>
          <w:sz w:val="18"/>
          <w:szCs w:val="18"/>
        </w:rPr>
        <w:t>Payment Card and Third Party Network Transactions,</w:t>
      </w:r>
      <w:r w:rsidRPr="00D73FC6">
        <w:rPr>
          <w:rFonts w:ascii="Arial" w:hAnsi="Arial" w:cs="Arial"/>
          <w:sz w:val="18"/>
          <w:szCs w:val="18"/>
        </w:rPr>
        <w:t xml:space="preserve"> reporting reverts back to previous rules where reporting is required if transactions exceed $20,000 and the aggregate number of transactions exceeds 200.</w:t>
      </w:r>
    </w:p>
    <w:p w14:paraId="7FE247E8" w14:textId="77777777" w:rsidR="002E1449" w:rsidRPr="00D73FC6" w:rsidRDefault="002E1449" w:rsidP="002E1449">
      <w:pPr>
        <w:numPr>
          <w:ilvl w:val="0"/>
          <w:numId w:val="2"/>
        </w:numPr>
        <w:spacing w:before="120" w:after="120" w:line="360" w:lineRule="auto"/>
        <w:ind w:left="360"/>
        <w:rPr>
          <w:rFonts w:ascii="Arial" w:eastAsia="Times New Roman" w:hAnsi="Arial" w:cs="Arial"/>
          <w:b/>
          <w:bCs/>
          <w:sz w:val="18"/>
          <w:szCs w:val="18"/>
          <w:lang w:eastAsia="en-GB"/>
        </w:rPr>
      </w:pPr>
      <w:r w:rsidRPr="00D73FC6">
        <w:rPr>
          <w:rFonts w:ascii="Arial" w:eastAsia="Times New Roman" w:hAnsi="Arial" w:cs="Arial"/>
          <w:b/>
          <w:bCs/>
          <w:sz w:val="18"/>
          <w:szCs w:val="18"/>
          <w:lang w:eastAsia="en-GB"/>
        </w:rPr>
        <w:t xml:space="preserve">Form 1099 reporting threshold: </w:t>
      </w:r>
      <w:r w:rsidRPr="00D73FC6">
        <w:rPr>
          <w:rFonts w:ascii="Arial" w:hAnsi="Arial" w:cs="Arial"/>
          <w:sz w:val="18"/>
          <w:szCs w:val="18"/>
        </w:rPr>
        <w:t xml:space="preserve">The information reporting threshold for payments for services increases to $2,000 in a calendar year (up from $600) in 2026, and the threshold amount will be indexed annually for inflation starting in 2027. </w:t>
      </w:r>
    </w:p>
    <w:p w14:paraId="3B3A03A4" w14:textId="10697DCF" w:rsidR="008516F9" w:rsidRPr="00D73FC6" w:rsidRDefault="002E1449" w:rsidP="002E1449">
      <w:pPr>
        <w:numPr>
          <w:ilvl w:val="0"/>
          <w:numId w:val="2"/>
        </w:numPr>
        <w:spacing w:before="240" w:after="120" w:line="360" w:lineRule="auto"/>
        <w:ind w:left="360"/>
        <w:rPr>
          <w:rFonts w:ascii="Arial" w:eastAsia="Times New Roman" w:hAnsi="Arial" w:cs="Arial"/>
          <w:sz w:val="18"/>
          <w:szCs w:val="18"/>
          <w:lang w:eastAsia="en-GB"/>
        </w:rPr>
      </w:pPr>
      <w:r w:rsidRPr="00D73FC6">
        <w:rPr>
          <w:rFonts w:ascii="Arial" w:eastAsia="Times New Roman" w:hAnsi="Arial" w:cs="Arial"/>
          <w:b/>
          <w:bCs/>
          <w:sz w:val="18"/>
          <w:szCs w:val="18"/>
          <w:lang w:eastAsia="en-GB"/>
        </w:rPr>
        <w:t>Clean energy credits:</w:t>
      </w:r>
      <w:r w:rsidRPr="00D73FC6">
        <w:rPr>
          <w:rFonts w:ascii="Arial" w:eastAsia="Times New Roman" w:hAnsi="Arial" w:cs="Arial"/>
          <w:sz w:val="18"/>
          <w:szCs w:val="18"/>
          <w:lang w:eastAsia="en-GB"/>
        </w:rPr>
        <w:t xml:space="preserve"> Several clean energy</w:t>
      </w:r>
      <w:r w:rsidR="0053569A" w:rsidRPr="00D73FC6">
        <w:rPr>
          <w:rFonts w:ascii="Arial" w:eastAsia="Times New Roman" w:hAnsi="Arial" w:cs="Arial"/>
          <w:sz w:val="18"/>
          <w:szCs w:val="18"/>
          <w:lang w:eastAsia="en-GB"/>
        </w:rPr>
        <w:t xml:space="preserve"> </w:t>
      </w:r>
      <w:r w:rsidRPr="00D73FC6">
        <w:rPr>
          <w:rFonts w:ascii="Arial" w:eastAsia="Times New Roman" w:hAnsi="Arial" w:cs="Arial"/>
          <w:sz w:val="18"/>
          <w:szCs w:val="18"/>
          <w:lang w:eastAsia="en-GB"/>
        </w:rPr>
        <w:t xml:space="preserve">credits from the Inflation Reduction Act are terminated. </w:t>
      </w:r>
    </w:p>
    <w:p w14:paraId="509040FB" w14:textId="59E9519B" w:rsidR="002E1449" w:rsidRPr="00D73FC6" w:rsidRDefault="002E1449" w:rsidP="002E1449">
      <w:pPr>
        <w:rPr>
          <w:sz w:val="20"/>
          <w:szCs w:val="20"/>
        </w:rPr>
      </w:pPr>
    </w:p>
    <w:sectPr w:rsidR="002E1449" w:rsidRPr="00D73FC6" w:rsidSect="002E1449">
      <w:headerReference w:type="default" r:id="rId7"/>
      <w:footerReference w:type="default" r:id="rId8"/>
      <w:headerReference w:type="firs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4426" w14:textId="77777777" w:rsidR="008516F9" w:rsidRDefault="008516F9">
      <w:pPr>
        <w:spacing w:line="240" w:lineRule="auto"/>
      </w:pPr>
      <w:r>
        <w:separator/>
      </w:r>
    </w:p>
  </w:endnote>
  <w:endnote w:type="continuationSeparator" w:id="0">
    <w:p w14:paraId="2973E11B" w14:textId="77777777" w:rsidR="008516F9" w:rsidRDefault="0085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A016" w14:textId="77777777" w:rsidR="00EE7B6B" w:rsidRDefault="00EE7B6B" w:rsidP="00946B03">
    <w:pPr>
      <w:pStyle w:val="Footer"/>
      <w:tabs>
        <w:tab w:val="clear" w:pos="4680"/>
        <w:tab w:val="clear" w:pos="9360"/>
        <w:tab w:val="left" w:pos="8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E7E6" w14:textId="77777777" w:rsidR="008516F9" w:rsidRDefault="008516F9">
      <w:pPr>
        <w:spacing w:line="240" w:lineRule="auto"/>
      </w:pPr>
      <w:r>
        <w:separator/>
      </w:r>
    </w:p>
  </w:footnote>
  <w:footnote w:type="continuationSeparator" w:id="0">
    <w:p w14:paraId="55D1F877" w14:textId="77777777" w:rsidR="008516F9" w:rsidRDefault="00851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1B2925" w14:paraId="406D1549" w14:textId="77777777" w:rsidTr="0079313A">
      <w:trPr>
        <w:trHeight w:val="300"/>
      </w:trPr>
      <w:tc>
        <w:tcPr>
          <w:tcW w:w="3120" w:type="dxa"/>
        </w:tcPr>
        <w:p w14:paraId="3C22A1A4" w14:textId="77777777" w:rsidR="00EE7B6B" w:rsidRDefault="00EE7B6B" w:rsidP="0079313A">
          <w:pPr>
            <w:pStyle w:val="Header"/>
            <w:ind w:left="-115"/>
          </w:pPr>
        </w:p>
      </w:tc>
      <w:tc>
        <w:tcPr>
          <w:tcW w:w="3120" w:type="dxa"/>
        </w:tcPr>
        <w:p w14:paraId="179FDA63" w14:textId="77777777" w:rsidR="00EE7B6B" w:rsidRDefault="00EE7B6B" w:rsidP="0079313A">
          <w:pPr>
            <w:pStyle w:val="Header"/>
            <w:jc w:val="center"/>
          </w:pPr>
        </w:p>
      </w:tc>
      <w:tc>
        <w:tcPr>
          <w:tcW w:w="3120" w:type="dxa"/>
        </w:tcPr>
        <w:p w14:paraId="6A89B837" w14:textId="77777777" w:rsidR="00EE7B6B" w:rsidRDefault="00EE7B6B" w:rsidP="0079313A">
          <w:pPr>
            <w:pStyle w:val="Header"/>
            <w:ind w:right="-115"/>
            <w:jc w:val="right"/>
          </w:pPr>
        </w:p>
      </w:tc>
    </w:tr>
  </w:tbl>
  <w:p w14:paraId="33D65C4D" w14:textId="77777777" w:rsidR="00EE7B6B" w:rsidRDefault="00EE7B6B" w:rsidP="00793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1B2925" w14:paraId="40599A69" w14:textId="77777777" w:rsidTr="0079313A">
      <w:trPr>
        <w:trHeight w:val="300"/>
      </w:trPr>
      <w:tc>
        <w:tcPr>
          <w:tcW w:w="3120" w:type="dxa"/>
        </w:tcPr>
        <w:p w14:paraId="3CCADFA4" w14:textId="77777777" w:rsidR="00EE7B6B" w:rsidRDefault="00EE7B6B" w:rsidP="0079313A">
          <w:pPr>
            <w:pStyle w:val="Header"/>
            <w:ind w:left="-115"/>
          </w:pPr>
        </w:p>
      </w:tc>
      <w:tc>
        <w:tcPr>
          <w:tcW w:w="3120" w:type="dxa"/>
        </w:tcPr>
        <w:p w14:paraId="4DF260FB" w14:textId="77777777" w:rsidR="00EE7B6B" w:rsidRDefault="00EE7B6B" w:rsidP="0079313A">
          <w:pPr>
            <w:pStyle w:val="Header"/>
            <w:jc w:val="center"/>
          </w:pPr>
        </w:p>
      </w:tc>
      <w:tc>
        <w:tcPr>
          <w:tcW w:w="3120" w:type="dxa"/>
        </w:tcPr>
        <w:p w14:paraId="667F652F" w14:textId="77777777" w:rsidR="00EE7B6B" w:rsidRDefault="00EE7B6B" w:rsidP="0079313A">
          <w:pPr>
            <w:pStyle w:val="Header"/>
            <w:ind w:right="-115"/>
            <w:jc w:val="right"/>
          </w:pPr>
        </w:p>
      </w:tc>
    </w:tr>
  </w:tbl>
  <w:p w14:paraId="48857BEB" w14:textId="77777777" w:rsidR="00EE7B6B" w:rsidRDefault="00EE7B6B" w:rsidP="00793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834D7"/>
    <w:multiLevelType w:val="multilevel"/>
    <w:tmpl w:val="BD9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E6431"/>
    <w:multiLevelType w:val="multilevel"/>
    <w:tmpl w:val="D4CE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B7D3E"/>
    <w:multiLevelType w:val="multilevel"/>
    <w:tmpl w:val="026E7354"/>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num w:numId="1" w16cid:durableId="1654286467">
    <w:abstractNumId w:val="2"/>
  </w:num>
  <w:num w:numId="2" w16cid:durableId="1356226689">
    <w:abstractNumId w:val="1"/>
  </w:num>
  <w:num w:numId="3" w16cid:durableId="170173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49"/>
    <w:rsid w:val="0011236B"/>
    <w:rsid w:val="001217C2"/>
    <w:rsid w:val="00284CB5"/>
    <w:rsid w:val="002B6DEE"/>
    <w:rsid w:val="002C20A9"/>
    <w:rsid w:val="002E1449"/>
    <w:rsid w:val="003311EA"/>
    <w:rsid w:val="00391338"/>
    <w:rsid w:val="00395141"/>
    <w:rsid w:val="003C4378"/>
    <w:rsid w:val="0044778A"/>
    <w:rsid w:val="0051792C"/>
    <w:rsid w:val="0053569A"/>
    <w:rsid w:val="005A2AAD"/>
    <w:rsid w:val="00675DC0"/>
    <w:rsid w:val="006C243A"/>
    <w:rsid w:val="006F326D"/>
    <w:rsid w:val="007C29AD"/>
    <w:rsid w:val="007D4DD2"/>
    <w:rsid w:val="007D7FFC"/>
    <w:rsid w:val="008516F9"/>
    <w:rsid w:val="009E55EC"/>
    <w:rsid w:val="00A1339D"/>
    <w:rsid w:val="00C050EE"/>
    <w:rsid w:val="00C67FB2"/>
    <w:rsid w:val="00C945B5"/>
    <w:rsid w:val="00CF4CC0"/>
    <w:rsid w:val="00D43CD3"/>
    <w:rsid w:val="00D73FC6"/>
    <w:rsid w:val="00DE1E51"/>
    <w:rsid w:val="00EE7B6B"/>
    <w:rsid w:val="00F3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773F"/>
  <w15:chartTrackingRefBased/>
  <w15:docId w15:val="{663251D5-2145-4E41-B499-0B4304F5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449"/>
    <w:pPr>
      <w:spacing w:after="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449"/>
    <w:pPr>
      <w:tabs>
        <w:tab w:val="center" w:pos="4680"/>
        <w:tab w:val="right" w:pos="9360"/>
      </w:tabs>
      <w:spacing w:line="240" w:lineRule="auto"/>
    </w:pPr>
  </w:style>
  <w:style w:type="character" w:customStyle="1" w:styleId="HeaderChar">
    <w:name w:val="Header Char"/>
    <w:basedOn w:val="DefaultParagraphFont"/>
    <w:link w:val="Header"/>
    <w:uiPriority w:val="99"/>
    <w:rsid w:val="002E1449"/>
    <w:rPr>
      <w:kern w:val="0"/>
      <w14:ligatures w14:val="none"/>
    </w:rPr>
  </w:style>
  <w:style w:type="paragraph" w:styleId="Footer">
    <w:name w:val="footer"/>
    <w:basedOn w:val="Normal"/>
    <w:link w:val="FooterChar"/>
    <w:uiPriority w:val="99"/>
    <w:unhideWhenUsed/>
    <w:rsid w:val="002E1449"/>
    <w:pPr>
      <w:tabs>
        <w:tab w:val="center" w:pos="4680"/>
        <w:tab w:val="right" w:pos="9360"/>
      </w:tabs>
      <w:spacing w:line="240" w:lineRule="auto"/>
    </w:pPr>
  </w:style>
  <w:style w:type="character" w:customStyle="1" w:styleId="FooterChar">
    <w:name w:val="Footer Char"/>
    <w:basedOn w:val="DefaultParagraphFont"/>
    <w:link w:val="Footer"/>
    <w:uiPriority w:val="99"/>
    <w:rsid w:val="002E1449"/>
    <w:rPr>
      <w:kern w:val="0"/>
      <w14:ligatures w14:val="none"/>
    </w:rPr>
  </w:style>
  <w:style w:type="character" w:styleId="Hyperlink">
    <w:name w:val="Hyperlink"/>
    <w:basedOn w:val="DefaultParagraphFont"/>
    <w:uiPriority w:val="99"/>
    <w:unhideWhenUsed/>
    <w:rsid w:val="002E1449"/>
    <w:rPr>
      <w:color w:val="0563C1" w:themeColor="hyperlink"/>
      <w:u w:val="single"/>
    </w:rPr>
  </w:style>
  <w:style w:type="character" w:styleId="FollowedHyperlink">
    <w:name w:val="FollowedHyperlink"/>
    <w:basedOn w:val="DefaultParagraphFont"/>
    <w:uiPriority w:val="99"/>
    <w:semiHidden/>
    <w:unhideWhenUsed/>
    <w:rsid w:val="00C05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Cayden Beecher</dc:creator>
  <cp:keywords/>
  <dc:description/>
  <cp:lastModifiedBy>Cayden Beecher</cp:lastModifiedBy>
  <cp:revision>6</cp:revision>
  <cp:lastPrinted>2025-08-04T18:23:00Z</cp:lastPrinted>
  <dcterms:created xsi:type="dcterms:W3CDTF">2025-08-04T15:23:00Z</dcterms:created>
  <dcterms:modified xsi:type="dcterms:W3CDTF">2025-08-04T18:25:00Z</dcterms:modified>
</cp:coreProperties>
</file>